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bookmarkEnd w:id="0"/>
    <w:tbl>
      <w:tblPr>
        <w:tblStyle w:val="2"/>
        <w:tblW w:w="1387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164"/>
        <w:gridCol w:w="1267"/>
        <w:gridCol w:w="1667"/>
        <w:gridCol w:w="2583"/>
        <w:gridCol w:w="2017"/>
        <w:gridCol w:w="1000"/>
        <w:gridCol w:w="2050"/>
        <w:gridCol w:w="15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8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2025年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eastAsia="zh-CN"/>
              </w:rPr>
              <w:t>第二批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中央和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eastAsia="zh-CN"/>
              </w:rPr>
              <w:t>第三批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省级农业专项工作任务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eastAsia="zh-CN"/>
              </w:rPr>
              <w:t>和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资金分配表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年份及级别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专项名称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工作任务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责任科(站）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财政资金（万元）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资金来源依据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0"/>
                <w:szCs w:val="20"/>
              </w:rPr>
              <w:t>项目编号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2025年中央第二批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农业经营主体能力提升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高素质农民培训专题班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2025年宜兴市农机手技能提升培训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宜兴市农业农村局农机科、宜兴市农业机械技术推广站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 xml:space="preserve">苏财农〔2025〕73 号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苏农计〔2025〕30 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YN-2025-11-2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3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2025年省级第三批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省级现代农业发展专项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粮油高产优质片区建设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2025年宜兴市省级粮食高产优质片区建设（水稻）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宜兴市农业技术推广中心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2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苏财农〔2025〕72号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苏农计〔2025〕29号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YN-2025-4-23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粮食及重要农产品生产应急救灾（第二批）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宜兴市粮食及重要农产品生产应急救灾项目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宜兴市植物保护植物检疫站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2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YN-2025-4-24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农业新产业新业态新模式推广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2025年宜兴市绿色优质农产品补助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宜兴市农业农村局农产品质量安全监管科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2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YN-2025-4-25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农产品境外推介和目标市场质量安全认证体系建设</w:t>
            </w:r>
          </w:p>
        </w:tc>
        <w:tc>
          <w:tcPr>
            <w:tcW w:w="2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宜兴市农业农村局农田建设与现代农业管理科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YN-2025-4-26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宜兴市2025“苏韵乡情”休闲农业宣传推介系列活动</w:t>
            </w:r>
          </w:p>
        </w:tc>
        <w:tc>
          <w:tcPr>
            <w:tcW w:w="2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YN-2025-4-27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11D07"/>
    <w:rsid w:val="57E1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2025-09-22T06:29:00Z</dcterms:created>
  <dc:creator>Administrator</dc:creator>
  <cp:lastModifiedBy>Administrator</cp:lastModifiedBy>
  <dcterms:modified xsi:type="dcterms:W3CDTF">2025-09-22T06:30:16Z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